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7" w:rsidRDefault="00E24697" w:rsidP="00E24697">
      <w:pPr>
        <w:shd w:val="clear" w:color="auto" w:fill="FFFFFF"/>
        <w:spacing w:after="240" w:line="240" w:lineRule="auto"/>
        <w:ind w:firstLine="851"/>
        <w:jc w:val="center"/>
        <w:textAlignment w:val="baseline"/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</w:pPr>
      <w:r w:rsidRPr="00E24697"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  <w:t>ОГОЛОШЕННЯ</w:t>
      </w:r>
    </w:p>
    <w:p w:rsidR="00E24697" w:rsidRPr="00E24697" w:rsidRDefault="00E24697" w:rsidP="00E24697">
      <w:pPr>
        <w:shd w:val="clear" w:color="auto" w:fill="FFFFFF"/>
        <w:spacing w:after="240" w:line="240" w:lineRule="auto"/>
        <w:ind w:firstLine="851"/>
        <w:jc w:val="center"/>
        <w:textAlignment w:val="baseline"/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</w:pPr>
      <w:r>
        <w:rPr>
          <w:rFonts w:ascii="ProbaPro-Regular" w:eastAsia="Times New Roman" w:hAnsi="ProbaPro-Regular" w:cs="Times New Roman" w:hint="eastAsia"/>
          <w:b/>
          <w:color w:val="03000A"/>
          <w:sz w:val="27"/>
          <w:szCs w:val="27"/>
        </w:rPr>
        <w:t>п</w:t>
      </w:r>
      <w:r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  <w:t xml:space="preserve">ро залучення </w:t>
      </w:r>
      <w:r w:rsidR="00752B34"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  <w:t xml:space="preserve">зовнішніх заінтересованих сторін </w:t>
      </w:r>
      <w:r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  <w:t xml:space="preserve">до роботи </w:t>
      </w:r>
      <w:r w:rsidR="00752B34"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  <w:br/>
      </w:r>
      <w:r>
        <w:rPr>
          <w:rFonts w:ascii="ProbaPro-Regular" w:eastAsia="Times New Roman" w:hAnsi="ProbaPro-Regular" w:cs="Times New Roman"/>
          <w:b/>
          <w:color w:val="03000A"/>
          <w:sz w:val="27"/>
          <w:szCs w:val="27"/>
        </w:rPr>
        <w:t>з оцінювання корупційних ризиків в Київському НДЕКЦ МВС у 2024 році</w:t>
      </w:r>
    </w:p>
    <w:p w:rsidR="00E24697" w:rsidRDefault="00E24697" w:rsidP="00E24697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</w:p>
    <w:p w:rsidR="005D3FDB" w:rsidRPr="005D3FDB" w:rsidRDefault="005D3FDB" w:rsidP="00E24697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Відповідно до доручення Експертної служби МВС від 30 листопада 2023 року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  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№ 19/26-44662-2023 в Експертній службі МВС розпочато процедур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у оцінювання корупційних ризиків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. У зв’язку із цим 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робочою групою 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з оцінювання корупційних ризиків 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у Київському НДЕКЦ МВС здійснюються заходи щодо виявлення вразливих </w:t>
      </w:r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до корупційних проявів 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сфер 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у діяльності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.</w:t>
      </w:r>
    </w:p>
    <w:p w:rsidR="005D3FDB" w:rsidRPr="005D3FDB" w:rsidRDefault="005D3FDB" w:rsidP="00E24697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До складу робочої групи з оцінювання корупційних ризиків у Київському НДЕКЦ МВС можуть доєднатись 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о</w:t>
      </w:r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>со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би, які володіють знаннями про середовище 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Київського НДЕКЦ МВС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та/або мають досвід роботи у сфері діяльності 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установи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та/або у сфері запобігання та/або протидії корупції, а саме:</w:t>
      </w:r>
    </w:p>
    <w:p w:rsidR="005D3FDB" w:rsidRPr="005D3FDB" w:rsidRDefault="005D3FDB" w:rsidP="00E246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представники інститутів громадянського суспільства, які здійснюють громадський контроль за діяльністю Експертної служби МВС;</w:t>
      </w:r>
    </w:p>
    <w:p w:rsidR="005D3FDB" w:rsidRPr="005D3FDB" w:rsidRDefault="005D3FDB" w:rsidP="00E246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експерти, які володіють спеціальними знаннями у сфері її діяльності та/або у сфері запобігання та/або протидії корупції;</w:t>
      </w:r>
    </w:p>
    <w:p w:rsidR="005D3FDB" w:rsidRPr="005D3FDB" w:rsidRDefault="005D3FDB" w:rsidP="00E246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>представники юридичних осіб, які взаємодіють з Експертною службою МВС або є споживачами адміністративних послуг, які надаються Експертною службою МВС.</w:t>
      </w:r>
    </w:p>
    <w:p w:rsidR="00E24697" w:rsidRDefault="00E24697" w:rsidP="00E2469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>
        <w:rPr>
          <w:rFonts w:ascii="ProbaPro-Regular" w:eastAsia="Times New Roman" w:hAnsi="ProbaPro-Regular" w:cs="Times New Roman" w:hint="eastAsia"/>
          <w:color w:val="03000A"/>
          <w:sz w:val="27"/>
          <w:szCs w:val="27"/>
        </w:rPr>
        <w:t>М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ожуть бути розглянутими інші категорії кандидатів.</w:t>
      </w:r>
    </w:p>
    <w:p w:rsidR="00E24697" w:rsidRDefault="005D3FDB" w:rsidP="00E2469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Інформацію про кандидата на включення до складу робочої групи </w:t>
      </w:r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з оцінювання корупційних ризиків в Київському НДЕКЦ МВС 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(прізвище, ім’я, по батькові, посада, назва організації, код ЄДРПОУ організації) просимо надіслати не пізніше 12 </w:t>
      </w:r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>січня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202</w:t>
      </w:r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>4</w:t>
      </w:r>
      <w:r w:rsidRPr="005D3FDB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року на електронну адресу</w:t>
      </w:r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>:</w:t>
      </w:r>
    </w:p>
    <w:p w:rsidR="005D3FDB" w:rsidRDefault="00E8647A" w:rsidP="00E2469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hyperlink r:id="rId5" w:history="1">
        <w:r w:rsidR="00E24697" w:rsidRPr="009E4BE3">
          <w:rPr>
            <w:rStyle w:val="a3"/>
            <w:rFonts w:ascii="ProbaPro-Regular" w:eastAsia="Times New Roman" w:hAnsi="ProbaPro-Regular" w:cs="Times New Roman"/>
            <w:sz w:val="27"/>
            <w:szCs w:val="27"/>
          </w:rPr>
          <w:t>antykor_kyiv_ndekc@dndekc.mvs.gov.ua</w:t>
        </w:r>
      </w:hyperlink>
      <w:r w:rsidR="00E24697"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</w:t>
      </w:r>
    </w:p>
    <w:p w:rsidR="00E24697" w:rsidRDefault="00E24697" w:rsidP="00E2469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</w:p>
    <w:p w:rsidR="00284E0C" w:rsidRDefault="00284E0C" w:rsidP="00284E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Також просимо взяти участь у анонімному анкетуванні  за формою, що додається, шляхом її заповнення та надсилання за електронною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адресою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</w:t>
      </w:r>
      <w:hyperlink r:id="rId6" w:history="1">
        <w:r w:rsidRPr="009E4BE3">
          <w:rPr>
            <w:rStyle w:val="a3"/>
            <w:rFonts w:ascii="ProbaPro-Regular" w:eastAsia="Times New Roman" w:hAnsi="ProbaPro-Regular" w:cs="Times New Roman"/>
            <w:sz w:val="27"/>
            <w:szCs w:val="27"/>
          </w:rPr>
          <w:t>antykor_kyiv_ndekc@dndekc.mvs.gov.ua</w:t>
        </w:r>
      </w:hyperlink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або надання в паперовому вигляді Уповноваженому за антикорупційної діяльності Київського НДЕКЦ МВС Володимиру ІЩЕНКУ (м. Київ, вул.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Гарета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 Джонса, 5 (колишня Сім</w:t>
      </w:r>
      <w:r>
        <w:rPr>
          <w:rFonts w:ascii="Times New Roman" w:eastAsia="Times New Roman" w:hAnsi="Times New Roman" w:cs="Times New Roman"/>
          <w:color w:val="03000A"/>
          <w:sz w:val="27"/>
          <w:szCs w:val="27"/>
        </w:rPr>
        <w:t>’</w:t>
      </w:r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ї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Хохлових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),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каб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. 132,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конт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.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тел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 xml:space="preserve">. 226-21-73, або шляхом поміщення анкети до скриньки для повідомлень, яка знаходиться в кімнаті для прийому громадян за вищевказаною </w:t>
      </w:r>
      <w:proofErr w:type="spellStart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адресою</w:t>
      </w:r>
      <w:proofErr w:type="spellEnd"/>
      <w:r>
        <w:rPr>
          <w:rFonts w:ascii="ProbaPro-Regular" w:eastAsia="Times New Roman" w:hAnsi="ProbaPro-Regular" w:cs="Times New Roman"/>
          <w:color w:val="03000A"/>
          <w:sz w:val="27"/>
          <w:szCs w:val="27"/>
        </w:rPr>
        <w:t>.</w:t>
      </w:r>
    </w:p>
    <w:p w:rsidR="00284E0C" w:rsidRDefault="00284E0C" w:rsidP="00284E0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</w:p>
    <w:p w:rsidR="00284E0C" w:rsidRDefault="00284E0C" w:rsidP="00E2469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</w:p>
    <w:p w:rsidR="00E8647A" w:rsidRDefault="00E8647A" w:rsidP="00284E0C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953"/>
      <w:bookmarkStart w:id="1" w:name="954"/>
      <w:bookmarkEnd w:id="0"/>
      <w:bookmarkEnd w:id="1"/>
    </w:p>
    <w:p w:rsidR="00E8647A" w:rsidRDefault="00E8647A" w:rsidP="00284E0C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8647A" w:rsidRDefault="00E8647A" w:rsidP="00284E0C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84E0C" w:rsidRPr="00284E0C" w:rsidRDefault="00284E0C" w:rsidP="00284E0C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ФОРМА</w:t>
      </w:r>
      <w:r w:rsidRPr="00284E0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анонімного опитування (анкетування) зовнішніх заінтересованих сторін</w:t>
      </w:r>
    </w:p>
    <w:p w:rsidR="00284E0C" w:rsidRPr="00284E0C" w:rsidRDefault="00284E0C" w:rsidP="0028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Шановний респонденте!</w:t>
      </w:r>
    </w:p>
    <w:p w:rsidR="00284E0C" w:rsidRPr="00284E0C" w:rsidRDefault="00284E0C" w:rsidP="0028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Експертна служба МВС України з метою оцінювання корупційних ризиків у своїй діяльності проводить вивчення думки зовнішніх заінтересованих сторін – фізичних чи юридичних осіб, їх об’єднань, з якими Експертна служба МВС взаємодіє або може взаємодіяти у процесі виконання своїх функцій.</w:t>
      </w:r>
    </w:p>
    <w:p w:rsidR="00284E0C" w:rsidRPr="00284E0C" w:rsidRDefault="00284E0C" w:rsidP="0028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Ваша думка </w:t>
      </w:r>
      <w:proofErr w:type="spellStart"/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надасть</w:t>
      </w:r>
      <w:proofErr w:type="spellEnd"/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допомогу виявити корупційні ризики у діяльності Експертної служби МВС та визначити заходи впливу на кожний корупційний ризик. </w:t>
      </w:r>
    </w:p>
    <w:p w:rsidR="00284E0C" w:rsidRPr="00284E0C" w:rsidRDefault="00284E0C" w:rsidP="0028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Будь ласка, ознайомтесь із запитаннями та виберіть відповіді, які Ви вважаєте правильними, зробивши відповідні відмітки. Ваші відповіді є дуже для нас важливими. Результат, звичайно, залежить від Вашої відвертості, точності та повноти Ваших відповідей.</w:t>
      </w:r>
    </w:p>
    <w:p w:rsidR="00284E0C" w:rsidRPr="00284E0C" w:rsidRDefault="00284E0C" w:rsidP="0028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Сподіваємось на плідну співпрацю!</w:t>
      </w:r>
    </w:p>
    <w:p w:rsidR="00284E0C" w:rsidRPr="00284E0C" w:rsidRDefault="00284E0C" w:rsidP="00284E0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284E0C" w:rsidRPr="00284E0C" w:rsidRDefault="00284E0C" w:rsidP="00284E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956"/>
      <w:bookmarkEnd w:id="2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На Вашу думку, чи є повним та достовірним обсяг інформації, що розміщується на </w:t>
      </w:r>
      <w:proofErr w:type="spellStart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вебсайті</w:t>
      </w:r>
      <w:proofErr w:type="spellEnd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Експертної служби МВС, інформаційних стендах у приміщеннях установ Експертної служби МВС тощо, про механізми отримання послуг та шляхи оскарження рішень, дій чи бездіяльності посадових осіб Експертної служби МВС?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957"/>
      <w:bookmarkEnd w:id="3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B18746" wp14:editId="0CA4C249">
            <wp:extent cx="2000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так, інформація розміщується у повному обсязі та є зрозумілою</w:t>
      </w:r>
    </w:p>
    <w:p w:rsidR="00284E0C" w:rsidRPr="00284E0C" w:rsidRDefault="00284E0C" w:rsidP="00284E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958"/>
      <w:bookmarkEnd w:id="4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9F52D6" wp14:editId="7D59B62C">
            <wp:extent cx="2000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інформація розміщується не у повному обсязі (відсутня/неповна/незрозуміла інформація про механізми отримання послуг та/або можливість оскарження рішень, дій чи бездіяльності посадових осіб організації тощо)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959"/>
      <w:bookmarkEnd w:id="5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399D62" wp14:editId="152043F3">
            <wp:extent cx="2000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інформація про послуги не розміщується або розміщується у важкодоступних місцях, її пошук є нелегким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2. Чи користувались ви послугами Експертної служби МВС протягом останніх 12 місяців?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Calibri" w:eastAsia="Times New Roman" w:hAnsi="Calibri" w:cs="Times New Roman"/>
          <w:noProof/>
        </w:rPr>
        <w:drawing>
          <wp:inline distT="0" distB="0" distL="0" distR="0" wp14:anchorId="6A577092" wp14:editId="2680A574">
            <wp:extent cx="123825" cy="123825"/>
            <wp:effectExtent l="0" t="0" r="9525" b="9525"/>
            <wp:docPr id="4" name="Рисунок 113865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8654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Так, послугами користувався/</w:t>
      </w:r>
      <w:proofErr w:type="spellStart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лася</w:t>
      </w:r>
      <w:proofErr w:type="spellEnd"/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86852E" wp14:editId="4531D7F4">
            <wp:extent cx="123825" cy="123825"/>
            <wp:effectExtent l="0" t="0" r="9525" b="9525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Ні, послугами не користувався/</w:t>
      </w:r>
      <w:proofErr w:type="spellStart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лася</w:t>
      </w:r>
      <w:proofErr w:type="spellEnd"/>
    </w:p>
    <w:p w:rsidR="00284E0C" w:rsidRPr="00284E0C" w:rsidRDefault="00284E0C" w:rsidP="00284E0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4E0C" w:rsidRPr="00284E0C" w:rsidRDefault="00284E0C" w:rsidP="00284E0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3. Які так, то які послуги Ви замовляли протягом останніх 12 місяців? Оберіть стільки варіантів відповідей, скільки потрібно.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проведення сертифікаційних та інших випробувань, а також оцінка відповідності продукції, процесів і послуг;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оцінка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майна та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майнових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прав;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огляд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експертного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дослідження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транспортних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засобів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і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реєстраційних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документів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що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їх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супроводжують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;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відстрілювання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вогнепальної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зброї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огляду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її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технічного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стану 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проведення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експертних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досліджень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;</w:t>
      </w: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</w:p>
    <w:p w:rsidR="00E8647A" w:rsidRDefault="00E8647A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647A" w:rsidRDefault="00E8647A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_GoBack"/>
      <w:bookmarkEnd w:id="6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4. Наскільки Ви були задоволені процесом надання послуг?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991"/>
      <w:bookmarkEnd w:id="7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AFFE04" wp14:editId="67E27789">
            <wp:extent cx="200025" cy="200025"/>
            <wp:effectExtent l="0" t="0" r="9525" b="9525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повністю задоволений/на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" w:name="992"/>
      <w:bookmarkEnd w:id="8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B0C429" wp14:editId="6B3A539A">
            <wp:extent cx="200025" cy="200025"/>
            <wp:effectExtent l="0" t="0" r="9525" b="9525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задоволений/на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9" w:name="993"/>
      <w:bookmarkEnd w:id="9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62112B" wp14:editId="6DED380C">
            <wp:extent cx="200025" cy="200025"/>
            <wp:effectExtent l="0" t="0" r="9525" b="9525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більш незадоволений/на, ніж задоволений/на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0" w:name="994"/>
      <w:bookmarkEnd w:id="10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3961E9" wp14:editId="1C5F225B">
            <wp:extent cx="200025" cy="200025"/>
            <wp:effectExtent l="0" t="0" r="9525" b="9525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зовсім незадоволений/на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1" w:name="995"/>
      <w:bookmarkEnd w:id="11"/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З якими проблемами Ви стикалися під час одержання послуг? Оберіть стільки варіантів відповідей, скільки потрібно. 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6DEAF9" wp14:editId="56FDFC60">
            <wp:extent cx="200025" cy="200025"/>
            <wp:effectExtent l="0" t="0" r="9525" b="9525"/>
            <wp:docPr id="10" name="Рисунок 6557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72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проблем не виникало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2" w:name="996"/>
      <w:bookmarkEnd w:id="12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DBFA94" wp14:editId="266A8048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занадто довгий процес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3" w:name="997"/>
      <w:bookmarkEnd w:id="13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8F716" wp14:editId="4EAADCC4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занадто складний процес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4" w:name="998"/>
      <w:bookmarkEnd w:id="14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9BFE21" wp14:editId="79B79F55">
            <wp:extent cx="2000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занадто багато документів вимагалося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5" w:name="999"/>
      <w:bookmarkEnd w:id="15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710A7D" wp14:editId="0E592394">
            <wp:extent cx="2000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корупція (вимагання винагороди за надання послуги або її прискорення)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6" w:name="1000"/>
      <w:bookmarkEnd w:id="16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AC105C" wp14:editId="12F347C6">
            <wp:extent cx="200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незрозумілі правила одержання послуги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1001"/>
      <w:bookmarkEnd w:id="17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FC870A" wp14:editId="2EDF0364">
            <wp:extent cx="2000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недостатньо інформації про умови надання послуг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8" w:name="1002"/>
      <w:bookmarkEnd w:id="18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D580DE" wp14:editId="69D3AE8D">
            <wp:extent cx="2000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неможливість оскаржити рішення суб'єкта надання послуги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9" w:name="1003"/>
      <w:bookmarkEnd w:id="19"/>
      <w:r w:rsidRPr="00284E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BDB6C4" wp14:editId="71C32D97">
            <wp:extent cx="2000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інші проблеми (вкажіть які): __________________________________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0" w:name="990"/>
      <w:bookmarkStart w:id="21" w:name="1004"/>
      <w:bookmarkEnd w:id="20"/>
      <w:bookmarkEnd w:id="21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У разі якщо Ви стикалися з корупцією при одержанні послуг, скажіть, будь ласка, при одержанні яких послуг це було? Оберіть стільки варіантів відповідей, скільки потрібно. 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проведення сертифікаційних та інших випробувань, а також оцінка відповідності продукції, процесів і послуг;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оцінка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майна та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майнових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прав;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огляд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експертного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дослідження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транспортних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засобів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і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реєстраційних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документів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що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їх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супроводжують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;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відстрілювання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вогнепальної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зброї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огляду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її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>технічного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en-US"/>
        </w:rPr>
        <w:t xml:space="preserve"> стану </w:t>
      </w:r>
    </w:p>
    <w:p w:rsidR="00284E0C" w:rsidRPr="00284E0C" w:rsidRDefault="00284E0C" w:rsidP="00284E0C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проведення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експертних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досліджень</w:t>
      </w:r>
      <w:proofErr w:type="spellEnd"/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;</w:t>
      </w:r>
      <w:r w:rsidRPr="00284E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7. Які Ваші побажання щодо поліпшення якості надання послуг?</w:t>
      </w:r>
    </w:p>
    <w:p w:rsidR="00284E0C" w:rsidRPr="00284E0C" w:rsidRDefault="00284E0C" w:rsidP="00284E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1031"/>
      <w:bookmarkEnd w:id="22"/>
      <w:r w:rsidRPr="00284E0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</w:p>
    <w:p w:rsidR="00284E0C" w:rsidRPr="00284E0C" w:rsidRDefault="00284E0C" w:rsidP="00284E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1032"/>
      <w:bookmarkStart w:id="24" w:name="1041"/>
      <w:bookmarkEnd w:id="23"/>
      <w:bookmarkEnd w:id="24"/>
    </w:p>
    <w:p w:rsidR="00284E0C" w:rsidRDefault="00284E0C" w:rsidP="00284E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E0C" w:rsidRDefault="00284E0C" w:rsidP="00284E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E0C" w:rsidRPr="00284E0C" w:rsidRDefault="00284E0C" w:rsidP="00284E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E0C">
        <w:rPr>
          <w:rFonts w:ascii="Times New Roman" w:eastAsia="Times New Roman" w:hAnsi="Times New Roman" w:cs="Times New Roman"/>
          <w:b/>
          <w:bCs/>
          <w:sz w:val="24"/>
          <w:szCs w:val="24"/>
        </w:rPr>
        <w:t>Дякуємо за участь в опитуванні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співпрацю</w:t>
      </w:r>
      <w:r w:rsidRPr="00284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:rsidR="00284E0C" w:rsidRPr="00284E0C" w:rsidRDefault="00284E0C" w:rsidP="00284E0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en-US"/>
        </w:rPr>
      </w:pPr>
      <w:r w:rsidRPr="00284E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Ваші відповіді будуть використані при оцінюванні корупційних ризиків у діяльності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Київського НДЕКЦ МВС</w:t>
      </w:r>
      <w:bookmarkStart w:id="25" w:name="1030"/>
      <w:bookmarkStart w:id="26" w:name="1042"/>
      <w:bookmarkEnd w:id="25"/>
      <w:bookmarkEnd w:id="26"/>
    </w:p>
    <w:p w:rsidR="00284E0C" w:rsidRDefault="00284E0C" w:rsidP="00E2469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-Regular" w:eastAsia="Times New Roman" w:hAnsi="ProbaPro-Regular" w:cs="Times New Roman"/>
          <w:color w:val="03000A"/>
          <w:sz w:val="27"/>
          <w:szCs w:val="27"/>
        </w:rPr>
      </w:pPr>
    </w:p>
    <w:p w:rsidR="0019652E" w:rsidRDefault="0019652E" w:rsidP="00E24697">
      <w:pPr>
        <w:ind w:firstLine="851"/>
      </w:pPr>
    </w:p>
    <w:sectPr w:rsidR="00196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clip_image001"/>
      </v:shape>
    </w:pict>
  </w:numPicBullet>
  <w:abstractNum w:abstractNumId="0" w15:restartNumberingAfterBreak="0">
    <w:nsid w:val="49742D90"/>
    <w:multiLevelType w:val="multilevel"/>
    <w:tmpl w:val="68F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3A186A"/>
    <w:multiLevelType w:val="hybridMultilevel"/>
    <w:tmpl w:val="0B02ABE4"/>
    <w:lvl w:ilvl="0" w:tplc="C02E2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7E4A7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A54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D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474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4E6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27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471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C1C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55"/>
    <w:rsid w:val="00050E38"/>
    <w:rsid w:val="0019652E"/>
    <w:rsid w:val="00284E0C"/>
    <w:rsid w:val="005D3FDB"/>
    <w:rsid w:val="00752B34"/>
    <w:rsid w:val="00A65655"/>
    <w:rsid w:val="00C77116"/>
    <w:rsid w:val="00E24697"/>
    <w:rsid w:val="00E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7BA"/>
  <w15:chartTrackingRefBased/>
  <w15:docId w15:val="{9ADCBFEE-88BE-4208-9F27-0EA3593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ykor_kyiv_ndekc@dndekc.mvs.gov.ua" TargetMode="External"/><Relationship Id="rId5" Type="http://schemas.openxmlformats.org/officeDocument/2006/relationships/hyperlink" Target="mailto:antykor_kyiv_ndekc@dndekc.mv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5</cp:revision>
  <dcterms:created xsi:type="dcterms:W3CDTF">2024-01-08T12:44:00Z</dcterms:created>
  <dcterms:modified xsi:type="dcterms:W3CDTF">2024-01-08T13:17:00Z</dcterms:modified>
</cp:coreProperties>
</file>