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61" w:rsidRPr="00176FD4" w:rsidRDefault="00D07361" w:rsidP="00D07361">
      <w:pPr>
        <w:tabs>
          <w:tab w:val="left" w:pos="7920"/>
        </w:tabs>
        <w:jc w:val="center"/>
        <w:rPr>
          <w:b/>
        </w:rPr>
      </w:pPr>
      <w:r w:rsidRPr="00176FD4">
        <w:rPr>
          <w:b/>
        </w:rPr>
        <w:t>РЕЗУЛЬТАТИ</w:t>
      </w:r>
    </w:p>
    <w:p w:rsidR="00D07361" w:rsidRPr="003C26BA" w:rsidRDefault="00D07361" w:rsidP="00D07361">
      <w:pPr>
        <w:tabs>
          <w:tab w:val="left" w:pos="7920"/>
        </w:tabs>
        <w:jc w:val="center"/>
        <w:rPr>
          <w:b/>
        </w:rPr>
      </w:pPr>
      <w:r w:rsidRPr="003C26BA">
        <w:rPr>
          <w:b/>
        </w:rPr>
        <w:t>оцінювання роботи із забезпечення прав осіб з інвалідністю</w:t>
      </w:r>
    </w:p>
    <w:p w:rsidR="00093AB5" w:rsidRDefault="00093AB5" w:rsidP="00D07361">
      <w:pPr>
        <w:tabs>
          <w:tab w:val="left" w:pos="7920"/>
        </w:tabs>
        <w:jc w:val="center"/>
        <w:rPr>
          <w:b/>
        </w:rPr>
      </w:pPr>
      <w:bookmarkStart w:id="0" w:name="_GoBack"/>
      <w:bookmarkEnd w:id="0"/>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559"/>
        <w:gridCol w:w="1843"/>
        <w:gridCol w:w="850"/>
        <w:gridCol w:w="1134"/>
        <w:gridCol w:w="993"/>
        <w:gridCol w:w="992"/>
        <w:gridCol w:w="1275"/>
      </w:tblGrid>
      <w:tr w:rsidR="00587231" w:rsidRPr="0040638D" w:rsidTr="006669E0">
        <w:trPr>
          <w:cantSplit/>
          <w:trHeight w:val="618"/>
        </w:trPr>
        <w:tc>
          <w:tcPr>
            <w:tcW w:w="567" w:type="dxa"/>
            <w:vMerge w:val="restart"/>
            <w:vAlign w:val="center"/>
          </w:tcPr>
          <w:p w:rsidR="00587231" w:rsidRPr="003321F5" w:rsidRDefault="00587231" w:rsidP="000E675B">
            <w:pPr>
              <w:tabs>
                <w:tab w:val="left" w:pos="7920"/>
              </w:tabs>
              <w:jc w:val="center"/>
              <w:rPr>
                <w:sz w:val="24"/>
                <w:szCs w:val="24"/>
              </w:rPr>
            </w:pPr>
            <w:r w:rsidRPr="003321F5">
              <w:rPr>
                <w:sz w:val="24"/>
                <w:szCs w:val="24"/>
              </w:rPr>
              <w:t>№ з/п</w:t>
            </w:r>
          </w:p>
        </w:tc>
        <w:tc>
          <w:tcPr>
            <w:tcW w:w="5387" w:type="dxa"/>
            <w:vMerge w:val="restart"/>
            <w:vAlign w:val="center"/>
          </w:tcPr>
          <w:p w:rsidR="00587231" w:rsidRPr="003321F5" w:rsidRDefault="00587231" w:rsidP="00D81219">
            <w:pPr>
              <w:tabs>
                <w:tab w:val="left" w:pos="7920"/>
              </w:tabs>
              <w:jc w:val="center"/>
              <w:rPr>
                <w:sz w:val="24"/>
                <w:szCs w:val="24"/>
              </w:rPr>
            </w:pPr>
            <w:r w:rsidRPr="003321F5">
              <w:rPr>
                <w:sz w:val="24"/>
                <w:szCs w:val="24"/>
              </w:rPr>
              <w:t>Назва підрозділу (закладу, установи, органу</w:t>
            </w:r>
            <w:r>
              <w:rPr>
                <w:sz w:val="24"/>
                <w:szCs w:val="24"/>
              </w:rPr>
              <w:t>)</w:t>
            </w:r>
          </w:p>
        </w:tc>
        <w:tc>
          <w:tcPr>
            <w:tcW w:w="1559" w:type="dxa"/>
            <w:vMerge w:val="restart"/>
            <w:shd w:val="clear" w:color="auto" w:fill="auto"/>
            <w:vAlign w:val="center"/>
          </w:tcPr>
          <w:p w:rsidR="00587231" w:rsidRPr="003321F5" w:rsidRDefault="00587231" w:rsidP="009073F4">
            <w:pPr>
              <w:tabs>
                <w:tab w:val="left" w:pos="7920"/>
              </w:tabs>
              <w:ind w:left="-103"/>
              <w:jc w:val="center"/>
              <w:rPr>
                <w:sz w:val="24"/>
                <w:szCs w:val="24"/>
              </w:rPr>
            </w:pPr>
            <w:r w:rsidRPr="003321F5">
              <w:rPr>
                <w:sz w:val="24"/>
                <w:szCs w:val="24"/>
              </w:rPr>
              <w:t>Кількість працівників за штатом</w:t>
            </w:r>
          </w:p>
        </w:tc>
        <w:tc>
          <w:tcPr>
            <w:tcW w:w="1843" w:type="dxa"/>
            <w:vMerge w:val="restart"/>
            <w:vAlign w:val="center"/>
          </w:tcPr>
          <w:p w:rsidR="00587231" w:rsidRPr="003321F5" w:rsidRDefault="00587231" w:rsidP="00587231">
            <w:pPr>
              <w:tabs>
                <w:tab w:val="left" w:pos="7920"/>
              </w:tabs>
              <w:ind w:left="-106"/>
              <w:jc w:val="center"/>
              <w:rPr>
                <w:sz w:val="24"/>
                <w:szCs w:val="24"/>
              </w:rPr>
            </w:pPr>
            <w:r w:rsidRPr="003321F5">
              <w:rPr>
                <w:sz w:val="24"/>
                <w:szCs w:val="24"/>
              </w:rPr>
              <w:t>Кількість працівників за</w:t>
            </w:r>
            <w:r>
              <w:rPr>
                <w:sz w:val="24"/>
                <w:szCs w:val="24"/>
              </w:rPr>
              <w:t> </w:t>
            </w:r>
            <w:r w:rsidRPr="003321F5">
              <w:rPr>
                <w:sz w:val="24"/>
                <w:szCs w:val="24"/>
              </w:rPr>
              <w:t>списком</w:t>
            </w:r>
          </w:p>
        </w:tc>
        <w:tc>
          <w:tcPr>
            <w:tcW w:w="3969" w:type="dxa"/>
            <w:gridSpan w:val="4"/>
            <w:shd w:val="clear" w:color="auto" w:fill="auto"/>
            <w:vAlign w:val="center"/>
          </w:tcPr>
          <w:p w:rsidR="00587231" w:rsidRPr="003321F5" w:rsidRDefault="00587231" w:rsidP="00C20B3A">
            <w:pPr>
              <w:tabs>
                <w:tab w:val="left" w:pos="7920"/>
              </w:tabs>
              <w:ind w:left="-110" w:right="-80"/>
              <w:jc w:val="center"/>
              <w:rPr>
                <w:sz w:val="24"/>
                <w:szCs w:val="24"/>
              </w:rPr>
            </w:pPr>
            <w:r w:rsidRPr="003321F5">
              <w:rPr>
                <w:sz w:val="24"/>
                <w:szCs w:val="24"/>
              </w:rPr>
              <w:t xml:space="preserve">Кількість осіб </w:t>
            </w:r>
            <w:r>
              <w:rPr>
                <w:sz w:val="24"/>
                <w:szCs w:val="24"/>
              </w:rPr>
              <w:t>з інвалідністю</w:t>
            </w:r>
          </w:p>
        </w:tc>
        <w:tc>
          <w:tcPr>
            <w:tcW w:w="1275" w:type="dxa"/>
            <w:vMerge w:val="restart"/>
            <w:vAlign w:val="center"/>
          </w:tcPr>
          <w:p w:rsidR="00587231" w:rsidRPr="003321F5" w:rsidRDefault="00587231" w:rsidP="008E2FF8">
            <w:pPr>
              <w:tabs>
                <w:tab w:val="left" w:pos="7920"/>
              </w:tabs>
              <w:jc w:val="center"/>
              <w:rPr>
                <w:sz w:val="24"/>
                <w:szCs w:val="24"/>
              </w:rPr>
            </w:pPr>
            <w:r>
              <w:rPr>
                <w:sz w:val="24"/>
                <w:szCs w:val="24"/>
              </w:rPr>
              <w:t>Загальна оцінка</w:t>
            </w:r>
          </w:p>
        </w:tc>
      </w:tr>
      <w:tr w:rsidR="00587231" w:rsidRPr="0040638D" w:rsidTr="006669E0">
        <w:trPr>
          <w:cantSplit/>
          <w:trHeight w:val="995"/>
        </w:trPr>
        <w:tc>
          <w:tcPr>
            <w:tcW w:w="567" w:type="dxa"/>
            <w:vMerge/>
            <w:vAlign w:val="center"/>
          </w:tcPr>
          <w:p w:rsidR="00587231" w:rsidRPr="000E675B" w:rsidRDefault="00587231" w:rsidP="000E675B">
            <w:pPr>
              <w:tabs>
                <w:tab w:val="left" w:pos="7920"/>
              </w:tabs>
              <w:jc w:val="center"/>
              <w:rPr>
                <w:sz w:val="22"/>
                <w:szCs w:val="22"/>
              </w:rPr>
            </w:pPr>
          </w:p>
        </w:tc>
        <w:tc>
          <w:tcPr>
            <w:tcW w:w="5387" w:type="dxa"/>
            <w:vMerge/>
            <w:vAlign w:val="center"/>
          </w:tcPr>
          <w:p w:rsidR="00587231" w:rsidRPr="00D81219" w:rsidRDefault="00587231" w:rsidP="00D81219">
            <w:pPr>
              <w:tabs>
                <w:tab w:val="left" w:pos="7920"/>
              </w:tabs>
              <w:jc w:val="center"/>
              <w:rPr>
                <w:sz w:val="24"/>
                <w:szCs w:val="24"/>
              </w:rPr>
            </w:pPr>
          </w:p>
        </w:tc>
        <w:tc>
          <w:tcPr>
            <w:tcW w:w="1559" w:type="dxa"/>
            <w:vMerge/>
            <w:shd w:val="clear" w:color="auto" w:fill="auto"/>
            <w:vAlign w:val="center"/>
          </w:tcPr>
          <w:p w:rsidR="00587231" w:rsidRPr="000E675B" w:rsidRDefault="00587231" w:rsidP="009073F4">
            <w:pPr>
              <w:tabs>
                <w:tab w:val="left" w:pos="7920"/>
              </w:tabs>
              <w:ind w:left="-103"/>
              <w:jc w:val="center"/>
              <w:rPr>
                <w:sz w:val="22"/>
                <w:szCs w:val="22"/>
              </w:rPr>
            </w:pPr>
          </w:p>
        </w:tc>
        <w:tc>
          <w:tcPr>
            <w:tcW w:w="1843" w:type="dxa"/>
            <w:vMerge/>
            <w:vAlign w:val="center"/>
          </w:tcPr>
          <w:p w:rsidR="00587231" w:rsidRPr="000E675B" w:rsidRDefault="00587231" w:rsidP="003C26BA">
            <w:pPr>
              <w:tabs>
                <w:tab w:val="left" w:pos="7920"/>
              </w:tabs>
              <w:ind w:left="-106"/>
              <w:jc w:val="center"/>
              <w:rPr>
                <w:sz w:val="22"/>
                <w:szCs w:val="22"/>
              </w:rPr>
            </w:pPr>
          </w:p>
        </w:tc>
        <w:tc>
          <w:tcPr>
            <w:tcW w:w="850" w:type="dxa"/>
            <w:shd w:val="clear" w:color="auto" w:fill="auto"/>
            <w:vAlign w:val="center"/>
          </w:tcPr>
          <w:p w:rsidR="00587231" w:rsidRPr="000E675B" w:rsidRDefault="00587231" w:rsidP="008E2FF8">
            <w:pPr>
              <w:tabs>
                <w:tab w:val="left" w:pos="7920"/>
              </w:tabs>
              <w:ind w:left="-110" w:right="-80"/>
              <w:jc w:val="center"/>
              <w:rPr>
                <w:sz w:val="22"/>
                <w:szCs w:val="22"/>
              </w:rPr>
            </w:pPr>
            <w:r w:rsidRPr="000E675B">
              <w:rPr>
                <w:sz w:val="22"/>
                <w:szCs w:val="22"/>
              </w:rPr>
              <w:t>1 група</w:t>
            </w:r>
            <w:r>
              <w:rPr>
                <w:sz w:val="22"/>
                <w:szCs w:val="22"/>
              </w:rPr>
              <w:t xml:space="preserve"> </w:t>
            </w:r>
          </w:p>
        </w:tc>
        <w:tc>
          <w:tcPr>
            <w:tcW w:w="1134" w:type="dxa"/>
            <w:shd w:val="clear" w:color="auto" w:fill="auto"/>
            <w:vAlign w:val="center"/>
          </w:tcPr>
          <w:p w:rsidR="00587231" w:rsidRPr="000E675B" w:rsidRDefault="00587231" w:rsidP="000E675B">
            <w:pPr>
              <w:tabs>
                <w:tab w:val="left" w:pos="7920"/>
              </w:tabs>
              <w:jc w:val="center"/>
              <w:rPr>
                <w:sz w:val="22"/>
                <w:szCs w:val="22"/>
              </w:rPr>
            </w:pPr>
            <w:r w:rsidRPr="000E675B">
              <w:rPr>
                <w:sz w:val="22"/>
                <w:szCs w:val="22"/>
              </w:rPr>
              <w:t>2 група</w:t>
            </w:r>
          </w:p>
        </w:tc>
        <w:tc>
          <w:tcPr>
            <w:tcW w:w="993" w:type="dxa"/>
            <w:shd w:val="clear" w:color="auto" w:fill="auto"/>
            <w:vAlign w:val="center"/>
          </w:tcPr>
          <w:p w:rsidR="00587231" w:rsidRPr="000E675B" w:rsidRDefault="00587231" w:rsidP="000E675B">
            <w:pPr>
              <w:tabs>
                <w:tab w:val="left" w:pos="7920"/>
              </w:tabs>
              <w:jc w:val="center"/>
              <w:rPr>
                <w:sz w:val="22"/>
                <w:szCs w:val="22"/>
              </w:rPr>
            </w:pPr>
            <w:r w:rsidRPr="000E675B">
              <w:rPr>
                <w:sz w:val="22"/>
                <w:szCs w:val="22"/>
              </w:rPr>
              <w:t>3 група</w:t>
            </w:r>
          </w:p>
        </w:tc>
        <w:tc>
          <w:tcPr>
            <w:tcW w:w="992" w:type="dxa"/>
            <w:shd w:val="clear" w:color="auto" w:fill="auto"/>
            <w:vAlign w:val="center"/>
          </w:tcPr>
          <w:p w:rsidR="00587231" w:rsidRPr="000E675B" w:rsidRDefault="00587231" w:rsidP="000E675B">
            <w:pPr>
              <w:tabs>
                <w:tab w:val="left" w:pos="7920"/>
              </w:tabs>
              <w:jc w:val="center"/>
              <w:rPr>
                <w:sz w:val="22"/>
                <w:szCs w:val="22"/>
              </w:rPr>
            </w:pPr>
            <w:r>
              <w:rPr>
                <w:sz w:val="22"/>
                <w:szCs w:val="22"/>
              </w:rPr>
              <w:t>Усього</w:t>
            </w:r>
          </w:p>
        </w:tc>
        <w:tc>
          <w:tcPr>
            <w:tcW w:w="1275" w:type="dxa"/>
            <w:vMerge/>
            <w:vAlign w:val="center"/>
          </w:tcPr>
          <w:p w:rsidR="00587231" w:rsidRPr="000E675B" w:rsidRDefault="00587231" w:rsidP="000E675B">
            <w:pPr>
              <w:tabs>
                <w:tab w:val="left" w:pos="7920"/>
              </w:tabs>
              <w:jc w:val="center"/>
              <w:rPr>
                <w:sz w:val="22"/>
                <w:szCs w:val="22"/>
              </w:rPr>
            </w:pPr>
          </w:p>
        </w:tc>
      </w:tr>
      <w:tr w:rsidR="008E2FF8" w:rsidRPr="006669E0" w:rsidTr="006669E0">
        <w:trPr>
          <w:cantSplit/>
          <w:trHeight w:val="437"/>
        </w:trPr>
        <w:tc>
          <w:tcPr>
            <w:tcW w:w="567" w:type="dxa"/>
            <w:vAlign w:val="center"/>
          </w:tcPr>
          <w:p w:rsidR="008E2FF8" w:rsidRPr="006669E0" w:rsidRDefault="008E2FF8" w:rsidP="000E675B">
            <w:pPr>
              <w:tabs>
                <w:tab w:val="left" w:pos="7920"/>
              </w:tabs>
              <w:jc w:val="center"/>
              <w:rPr>
                <w:sz w:val="24"/>
                <w:szCs w:val="24"/>
              </w:rPr>
            </w:pPr>
            <w:r w:rsidRPr="006669E0">
              <w:rPr>
                <w:sz w:val="24"/>
                <w:szCs w:val="24"/>
              </w:rPr>
              <w:t>1</w:t>
            </w:r>
          </w:p>
        </w:tc>
        <w:tc>
          <w:tcPr>
            <w:tcW w:w="5387" w:type="dxa"/>
            <w:vAlign w:val="center"/>
          </w:tcPr>
          <w:p w:rsidR="008E2FF8" w:rsidRPr="006669E0" w:rsidRDefault="008E2FF8" w:rsidP="00D81219">
            <w:pPr>
              <w:tabs>
                <w:tab w:val="left" w:pos="7920"/>
              </w:tabs>
              <w:jc w:val="center"/>
              <w:rPr>
                <w:sz w:val="24"/>
                <w:szCs w:val="24"/>
              </w:rPr>
            </w:pPr>
            <w:r w:rsidRPr="006669E0">
              <w:rPr>
                <w:sz w:val="24"/>
                <w:szCs w:val="24"/>
              </w:rPr>
              <w:t>2</w:t>
            </w:r>
          </w:p>
        </w:tc>
        <w:tc>
          <w:tcPr>
            <w:tcW w:w="1559" w:type="dxa"/>
            <w:shd w:val="clear" w:color="auto" w:fill="auto"/>
            <w:vAlign w:val="center"/>
          </w:tcPr>
          <w:p w:rsidR="008E2FF8" w:rsidRPr="006669E0" w:rsidRDefault="008E2FF8" w:rsidP="009073F4">
            <w:pPr>
              <w:tabs>
                <w:tab w:val="left" w:pos="7920"/>
              </w:tabs>
              <w:ind w:left="-103"/>
              <w:jc w:val="center"/>
              <w:rPr>
                <w:sz w:val="24"/>
                <w:szCs w:val="24"/>
              </w:rPr>
            </w:pPr>
            <w:r w:rsidRPr="006669E0">
              <w:rPr>
                <w:sz w:val="24"/>
                <w:szCs w:val="24"/>
              </w:rPr>
              <w:t>3</w:t>
            </w:r>
          </w:p>
        </w:tc>
        <w:tc>
          <w:tcPr>
            <w:tcW w:w="1843" w:type="dxa"/>
            <w:vAlign w:val="center"/>
          </w:tcPr>
          <w:p w:rsidR="008E2FF8" w:rsidRPr="006669E0" w:rsidRDefault="008E2FF8" w:rsidP="003C26BA">
            <w:pPr>
              <w:tabs>
                <w:tab w:val="left" w:pos="7920"/>
              </w:tabs>
              <w:ind w:left="-106"/>
              <w:jc w:val="center"/>
              <w:rPr>
                <w:sz w:val="24"/>
                <w:szCs w:val="24"/>
              </w:rPr>
            </w:pPr>
            <w:r w:rsidRPr="006669E0">
              <w:rPr>
                <w:sz w:val="24"/>
                <w:szCs w:val="24"/>
              </w:rPr>
              <w:t>4</w:t>
            </w:r>
          </w:p>
        </w:tc>
        <w:tc>
          <w:tcPr>
            <w:tcW w:w="850" w:type="dxa"/>
            <w:shd w:val="clear" w:color="auto" w:fill="auto"/>
            <w:vAlign w:val="center"/>
          </w:tcPr>
          <w:p w:rsidR="008E2FF8" w:rsidRPr="006669E0" w:rsidRDefault="008E2FF8" w:rsidP="003C26BA">
            <w:pPr>
              <w:tabs>
                <w:tab w:val="left" w:pos="7920"/>
              </w:tabs>
              <w:ind w:left="-110" w:right="-80"/>
              <w:jc w:val="center"/>
              <w:rPr>
                <w:sz w:val="24"/>
                <w:szCs w:val="24"/>
              </w:rPr>
            </w:pPr>
            <w:r w:rsidRPr="006669E0">
              <w:rPr>
                <w:sz w:val="24"/>
                <w:szCs w:val="24"/>
              </w:rPr>
              <w:t>5</w:t>
            </w:r>
          </w:p>
        </w:tc>
        <w:tc>
          <w:tcPr>
            <w:tcW w:w="1134" w:type="dxa"/>
            <w:shd w:val="clear" w:color="auto" w:fill="auto"/>
            <w:vAlign w:val="center"/>
          </w:tcPr>
          <w:p w:rsidR="008E2FF8" w:rsidRPr="006669E0" w:rsidRDefault="008E2FF8" w:rsidP="000E675B">
            <w:pPr>
              <w:tabs>
                <w:tab w:val="left" w:pos="7920"/>
              </w:tabs>
              <w:jc w:val="center"/>
              <w:rPr>
                <w:sz w:val="24"/>
                <w:szCs w:val="24"/>
              </w:rPr>
            </w:pPr>
            <w:r w:rsidRPr="006669E0">
              <w:rPr>
                <w:sz w:val="24"/>
                <w:szCs w:val="24"/>
              </w:rPr>
              <w:t>6</w:t>
            </w:r>
          </w:p>
        </w:tc>
        <w:tc>
          <w:tcPr>
            <w:tcW w:w="993" w:type="dxa"/>
            <w:shd w:val="clear" w:color="auto" w:fill="auto"/>
            <w:vAlign w:val="center"/>
          </w:tcPr>
          <w:p w:rsidR="008E2FF8" w:rsidRPr="006669E0" w:rsidRDefault="008E2FF8" w:rsidP="000E675B">
            <w:pPr>
              <w:tabs>
                <w:tab w:val="left" w:pos="7920"/>
              </w:tabs>
              <w:jc w:val="center"/>
              <w:rPr>
                <w:sz w:val="24"/>
                <w:szCs w:val="24"/>
              </w:rPr>
            </w:pPr>
            <w:r w:rsidRPr="006669E0">
              <w:rPr>
                <w:sz w:val="24"/>
                <w:szCs w:val="24"/>
              </w:rPr>
              <w:t>7</w:t>
            </w:r>
          </w:p>
        </w:tc>
        <w:tc>
          <w:tcPr>
            <w:tcW w:w="992" w:type="dxa"/>
            <w:shd w:val="clear" w:color="auto" w:fill="auto"/>
            <w:vAlign w:val="center"/>
          </w:tcPr>
          <w:p w:rsidR="008E2FF8" w:rsidRPr="006669E0" w:rsidRDefault="008E2FF8" w:rsidP="000E675B">
            <w:pPr>
              <w:tabs>
                <w:tab w:val="left" w:pos="7920"/>
              </w:tabs>
              <w:jc w:val="center"/>
              <w:rPr>
                <w:sz w:val="24"/>
                <w:szCs w:val="24"/>
              </w:rPr>
            </w:pPr>
            <w:r w:rsidRPr="006669E0">
              <w:rPr>
                <w:sz w:val="24"/>
                <w:szCs w:val="24"/>
              </w:rPr>
              <w:t>8</w:t>
            </w:r>
          </w:p>
        </w:tc>
        <w:tc>
          <w:tcPr>
            <w:tcW w:w="1275" w:type="dxa"/>
            <w:vAlign w:val="center"/>
          </w:tcPr>
          <w:p w:rsidR="008E2FF8" w:rsidRPr="006669E0" w:rsidRDefault="008E2FF8" w:rsidP="000E675B">
            <w:pPr>
              <w:tabs>
                <w:tab w:val="left" w:pos="7920"/>
              </w:tabs>
              <w:jc w:val="center"/>
              <w:rPr>
                <w:sz w:val="24"/>
                <w:szCs w:val="24"/>
              </w:rPr>
            </w:pPr>
            <w:r w:rsidRPr="006669E0">
              <w:rPr>
                <w:sz w:val="24"/>
                <w:szCs w:val="24"/>
              </w:rPr>
              <w:t>9</w:t>
            </w:r>
          </w:p>
        </w:tc>
      </w:tr>
      <w:tr w:rsidR="00106613" w:rsidRPr="0040638D" w:rsidTr="006669E0">
        <w:trPr>
          <w:cantSplit/>
          <w:trHeight w:val="826"/>
        </w:trPr>
        <w:tc>
          <w:tcPr>
            <w:tcW w:w="567" w:type="dxa"/>
            <w:vAlign w:val="center"/>
          </w:tcPr>
          <w:p w:rsidR="00106613" w:rsidRPr="0040638D" w:rsidRDefault="00106613" w:rsidP="001A2CAA">
            <w:pPr>
              <w:tabs>
                <w:tab w:val="left" w:pos="7920"/>
              </w:tabs>
              <w:jc w:val="both"/>
              <w:rPr>
                <w:sz w:val="24"/>
                <w:szCs w:val="24"/>
              </w:rPr>
            </w:pPr>
          </w:p>
        </w:tc>
        <w:tc>
          <w:tcPr>
            <w:tcW w:w="5387" w:type="dxa"/>
            <w:vAlign w:val="center"/>
          </w:tcPr>
          <w:p w:rsidR="00106613" w:rsidRPr="006669E0" w:rsidRDefault="00833949" w:rsidP="00093AB5">
            <w:pPr>
              <w:tabs>
                <w:tab w:val="left" w:pos="7920"/>
              </w:tabs>
              <w:jc w:val="both"/>
            </w:pPr>
            <w:r w:rsidRPr="006669E0">
              <w:t>Київський науково-дослідний експертно-криміналістичний центр Міністерства внутрішніх справ України</w:t>
            </w:r>
          </w:p>
        </w:tc>
        <w:tc>
          <w:tcPr>
            <w:tcW w:w="1559" w:type="dxa"/>
            <w:shd w:val="clear" w:color="auto" w:fill="auto"/>
            <w:vAlign w:val="center"/>
          </w:tcPr>
          <w:p w:rsidR="00106613" w:rsidRPr="006669E0" w:rsidRDefault="00C23DED" w:rsidP="00833949">
            <w:pPr>
              <w:tabs>
                <w:tab w:val="left" w:pos="7920"/>
              </w:tabs>
              <w:jc w:val="center"/>
            </w:pPr>
            <w:r>
              <w:t>507</w:t>
            </w:r>
          </w:p>
        </w:tc>
        <w:tc>
          <w:tcPr>
            <w:tcW w:w="1843" w:type="dxa"/>
            <w:vAlign w:val="center"/>
          </w:tcPr>
          <w:p w:rsidR="00106613" w:rsidRPr="006669E0" w:rsidRDefault="00C23DED" w:rsidP="00FF194A">
            <w:pPr>
              <w:tabs>
                <w:tab w:val="left" w:pos="7920"/>
              </w:tabs>
              <w:jc w:val="center"/>
            </w:pPr>
            <w:r>
              <w:t>473</w:t>
            </w:r>
          </w:p>
        </w:tc>
        <w:tc>
          <w:tcPr>
            <w:tcW w:w="850" w:type="dxa"/>
            <w:shd w:val="clear" w:color="auto" w:fill="auto"/>
            <w:vAlign w:val="center"/>
          </w:tcPr>
          <w:p w:rsidR="00106613" w:rsidRPr="006669E0" w:rsidRDefault="00833949" w:rsidP="006669E0">
            <w:pPr>
              <w:tabs>
                <w:tab w:val="left" w:pos="7920"/>
              </w:tabs>
              <w:jc w:val="center"/>
            </w:pPr>
            <w:r w:rsidRPr="006669E0">
              <w:t>-</w:t>
            </w:r>
          </w:p>
        </w:tc>
        <w:tc>
          <w:tcPr>
            <w:tcW w:w="1134" w:type="dxa"/>
            <w:shd w:val="clear" w:color="auto" w:fill="auto"/>
            <w:vAlign w:val="center"/>
          </w:tcPr>
          <w:p w:rsidR="00106613" w:rsidRPr="006669E0" w:rsidRDefault="00C23DED" w:rsidP="00093AB5">
            <w:pPr>
              <w:tabs>
                <w:tab w:val="left" w:pos="7920"/>
              </w:tabs>
              <w:jc w:val="center"/>
            </w:pPr>
            <w:r>
              <w:t>6</w:t>
            </w:r>
          </w:p>
        </w:tc>
        <w:tc>
          <w:tcPr>
            <w:tcW w:w="993" w:type="dxa"/>
            <w:shd w:val="clear" w:color="auto" w:fill="auto"/>
            <w:vAlign w:val="center"/>
          </w:tcPr>
          <w:p w:rsidR="00106613" w:rsidRPr="006669E0" w:rsidRDefault="00C23DED" w:rsidP="00093AB5">
            <w:pPr>
              <w:tabs>
                <w:tab w:val="left" w:pos="7920"/>
              </w:tabs>
              <w:jc w:val="center"/>
            </w:pPr>
            <w:r>
              <w:t>12</w:t>
            </w:r>
          </w:p>
        </w:tc>
        <w:tc>
          <w:tcPr>
            <w:tcW w:w="992" w:type="dxa"/>
            <w:shd w:val="clear" w:color="auto" w:fill="auto"/>
            <w:vAlign w:val="center"/>
          </w:tcPr>
          <w:p w:rsidR="00106613" w:rsidRPr="006669E0" w:rsidRDefault="00C23DED" w:rsidP="00093AB5">
            <w:pPr>
              <w:tabs>
                <w:tab w:val="left" w:pos="7920"/>
              </w:tabs>
              <w:jc w:val="center"/>
            </w:pPr>
            <w:r>
              <w:t>18</w:t>
            </w:r>
          </w:p>
        </w:tc>
        <w:tc>
          <w:tcPr>
            <w:tcW w:w="1275" w:type="dxa"/>
            <w:vAlign w:val="center"/>
          </w:tcPr>
          <w:p w:rsidR="00106613" w:rsidRPr="006669E0" w:rsidRDefault="00587231" w:rsidP="00587231">
            <w:pPr>
              <w:tabs>
                <w:tab w:val="left" w:pos="7920"/>
              </w:tabs>
              <w:jc w:val="center"/>
            </w:pPr>
            <w:r>
              <w:t>14</w:t>
            </w:r>
          </w:p>
        </w:tc>
      </w:tr>
    </w:tbl>
    <w:p w:rsidR="00106613" w:rsidRDefault="00106613" w:rsidP="00410F4E">
      <w:pPr>
        <w:tabs>
          <w:tab w:val="left" w:pos="7920"/>
        </w:tabs>
        <w:ind w:firstLine="709"/>
        <w:jc w:val="both"/>
        <w:rPr>
          <w:b/>
          <w:i/>
          <w:sz w:val="24"/>
          <w:szCs w:val="24"/>
        </w:rPr>
      </w:pPr>
    </w:p>
    <w:p w:rsidR="006175E4" w:rsidRDefault="006175E4" w:rsidP="00410F4E">
      <w:pPr>
        <w:tabs>
          <w:tab w:val="left" w:pos="7920"/>
        </w:tabs>
        <w:ind w:firstLine="709"/>
        <w:jc w:val="both"/>
        <w:rPr>
          <w:b/>
          <w:i/>
          <w:sz w:val="24"/>
          <w:szCs w:val="24"/>
        </w:rPr>
      </w:pPr>
    </w:p>
    <w:p w:rsidR="00C20B3A" w:rsidRPr="00C20B3A" w:rsidRDefault="00410F4E" w:rsidP="006175E4">
      <w:pPr>
        <w:tabs>
          <w:tab w:val="left" w:pos="7920"/>
        </w:tabs>
        <w:ind w:left="1134" w:hanging="1134"/>
        <w:jc w:val="both"/>
        <w:rPr>
          <w:sz w:val="24"/>
          <w:szCs w:val="24"/>
        </w:rPr>
      </w:pPr>
      <w:r w:rsidRPr="006175E4">
        <w:rPr>
          <w:sz w:val="24"/>
          <w:szCs w:val="24"/>
        </w:rPr>
        <w:t>Примітка</w:t>
      </w:r>
      <w:r w:rsidR="006175E4">
        <w:rPr>
          <w:sz w:val="24"/>
          <w:szCs w:val="24"/>
        </w:rPr>
        <w:t>.</w:t>
      </w:r>
      <w:r w:rsidRPr="00C20B3A">
        <w:rPr>
          <w:sz w:val="24"/>
          <w:szCs w:val="24"/>
        </w:rPr>
        <w:t xml:space="preserve"> </w:t>
      </w:r>
      <w:r w:rsidR="00925ADE">
        <w:rPr>
          <w:sz w:val="24"/>
          <w:szCs w:val="24"/>
        </w:rPr>
        <w:t>З</w:t>
      </w:r>
      <w:r w:rsidR="00C20B3A" w:rsidRPr="00C20B3A">
        <w:rPr>
          <w:sz w:val="24"/>
          <w:szCs w:val="24"/>
        </w:rPr>
        <w:t xml:space="preserve">агальна оцінка здійснюється </w:t>
      </w:r>
      <w:r w:rsidR="00925ADE">
        <w:rPr>
          <w:sz w:val="24"/>
          <w:szCs w:val="24"/>
        </w:rPr>
        <w:t xml:space="preserve">відповідно </w:t>
      </w:r>
      <w:r w:rsidR="00C20B3A" w:rsidRPr="00C20B3A">
        <w:rPr>
          <w:sz w:val="24"/>
          <w:szCs w:val="24"/>
        </w:rPr>
        <w:t>до Методики оцінювання роботи із забезпечення прав осіб з інвалідністю в Міністерстві внутрішніх справ України та центральних органах виконавчої влади, діяльність яких спрямовується та координується Кабінетом Міністрів України через Міністра внутрішніх справ України, затвердженої наказом Міністерства внутрішніх справ України від 11 квітня 2018 року № 294, зареєстрованої в Міністерстві юстиції України 24 квітня 2018 року за № 496/31948</w:t>
      </w:r>
      <w:r w:rsidR="00C20B3A">
        <w:rPr>
          <w:sz w:val="24"/>
          <w:szCs w:val="24"/>
        </w:rPr>
        <w:t>.</w:t>
      </w:r>
    </w:p>
    <w:sectPr w:rsidR="00C20B3A" w:rsidRPr="00C20B3A" w:rsidSect="00833949">
      <w:pgSz w:w="16838" w:h="11906" w:orient="landscape"/>
      <w:pgMar w:top="1701" w:right="1135" w:bottom="70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685E"/>
    <w:multiLevelType w:val="hybridMultilevel"/>
    <w:tmpl w:val="71D0A0C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61"/>
    <w:rsid w:val="00017381"/>
    <w:rsid w:val="000207D7"/>
    <w:rsid w:val="00051AD2"/>
    <w:rsid w:val="0005360E"/>
    <w:rsid w:val="00093AB5"/>
    <w:rsid w:val="000D11EA"/>
    <w:rsid w:val="000D68C7"/>
    <w:rsid w:val="000E675B"/>
    <w:rsid w:val="00106613"/>
    <w:rsid w:val="001434FA"/>
    <w:rsid w:val="00155EF6"/>
    <w:rsid w:val="00176FD4"/>
    <w:rsid w:val="001A1FE6"/>
    <w:rsid w:val="001A2CAA"/>
    <w:rsid w:val="001C02C6"/>
    <w:rsid w:val="002501EA"/>
    <w:rsid w:val="00250FB6"/>
    <w:rsid w:val="00271D08"/>
    <w:rsid w:val="002761D5"/>
    <w:rsid w:val="002B1E28"/>
    <w:rsid w:val="002D3A7F"/>
    <w:rsid w:val="002E4586"/>
    <w:rsid w:val="00327275"/>
    <w:rsid w:val="003321F5"/>
    <w:rsid w:val="0033444B"/>
    <w:rsid w:val="00341D7F"/>
    <w:rsid w:val="0036585A"/>
    <w:rsid w:val="003C26BA"/>
    <w:rsid w:val="003D549C"/>
    <w:rsid w:val="0040638D"/>
    <w:rsid w:val="00410F4E"/>
    <w:rsid w:val="004453CC"/>
    <w:rsid w:val="00457CD4"/>
    <w:rsid w:val="004943D7"/>
    <w:rsid w:val="004C3BFA"/>
    <w:rsid w:val="00522C61"/>
    <w:rsid w:val="00532AB4"/>
    <w:rsid w:val="00587231"/>
    <w:rsid w:val="00591C81"/>
    <w:rsid w:val="005A15FC"/>
    <w:rsid w:val="005D3A46"/>
    <w:rsid w:val="005E2E7E"/>
    <w:rsid w:val="00614774"/>
    <w:rsid w:val="006175E4"/>
    <w:rsid w:val="0064053A"/>
    <w:rsid w:val="006669E0"/>
    <w:rsid w:val="006B0111"/>
    <w:rsid w:val="006E3751"/>
    <w:rsid w:val="006F0D83"/>
    <w:rsid w:val="006F723F"/>
    <w:rsid w:val="007A6A63"/>
    <w:rsid w:val="00833949"/>
    <w:rsid w:val="0088717E"/>
    <w:rsid w:val="008D50B0"/>
    <w:rsid w:val="008E2FF8"/>
    <w:rsid w:val="009073F4"/>
    <w:rsid w:val="00914BCA"/>
    <w:rsid w:val="00925ADE"/>
    <w:rsid w:val="00935DB5"/>
    <w:rsid w:val="009954E3"/>
    <w:rsid w:val="009F502C"/>
    <w:rsid w:val="00A20D6F"/>
    <w:rsid w:val="00A47B78"/>
    <w:rsid w:val="00A671E6"/>
    <w:rsid w:val="00A72E9E"/>
    <w:rsid w:val="00A952D8"/>
    <w:rsid w:val="00AA43BC"/>
    <w:rsid w:val="00AA55FF"/>
    <w:rsid w:val="00AC3CDB"/>
    <w:rsid w:val="00AD22D4"/>
    <w:rsid w:val="00B308CF"/>
    <w:rsid w:val="00B67D66"/>
    <w:rsid w:val="00B9453B"/>
    <w:rsid w:val="00BF1E16"/>
    <w:rsid w:val="00C20B3A"/>
    <w:rsid w:val="00C23DED"/>
    <w:rsid w:val="00C4430F"/>
    <w:rsid w:val="00C44DBC"/>
    <w:rsid w:val="00CB56D9"/>
    <w:rsid w:val="00CF26EF"/>
    <w:rsid w:val="00D07361"/>
    <w:rsid w:val="00D36310"/>
    <w:rsid w:val="00D36BAD"/>
    <w:rsid w:val="00D64515"/>
    <w:rsid w:val="00D77B52"/>
    <w:rsid w:val="00D81219"/>
    <w:rsid w:val="00E05EA4"/>
    <w:rsid w:val="00E711F2"/>
    <w:rsid w:val="00E71A25"/>
    <w:rsid w:val="00E72114"/>
    <w:rsid w:val="00E9243E"/>
    <w:rsid w:val="00E925DA"/>
    <w:rsid w:val="00ED6F6C"/>
    <w:rsid w:val="00EF2467"/>
    <w:rsid w:val="00F6267B"/>
    <w:rsid w:val="00F71F49"/>
    <w:rsid w:val="00FF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EF353-5028-410A-ADEC-4F5057E5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361"/>
    <w:rPr>
      <w:rFonts w:ascii="Times New Roman" w:eastAsia="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rsid w:val="00106613"/>
  </w:style>
  <w:style w:type="paragraph" w:styleId="a3">
    <w:name w:val="Balloon Text"/>
    <w:basedOn w:val="a"/>
    <w:link w:val="a4"/>
    <w:uiPriority w:val="99"/>
    <w:semiHidden/>
    <w:unhideWhenUsed/>
    <w:rsid w:val="00833949"/>
    <w:rPr>
      <w:rFonts w:ascii="Segoe UI" w:hAnsi="Segoe UI" w:cs="Segoe UI"/>
      <w:sz w:val="18"/>
      <w:szCs w:val="18"/>
    </w:rPr>
  </w:style>
  <w:style w:type="character" w:customStyle="1" w:styleId="a4">
    <w:name w:val="Текст выноски Знак"/>
    <w:link w:val="a3"/>
    <w:uiPriority w:val="99"/>
    <w:semiHidden/>
    <w:rsid w:val="00833949"/>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770</Characters>
  <Application>Microsoft Office Word</Application>
  <DocSecurity>0</DocSecurity>
  <Lines>6</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URIY</cp:lastModifiedBy>
  <cp:revision>3</cp:revision>
  <cp:lastPrinted>2023-01-25T11:42:00Z</cp:lastPrinted>
  <dcterms:created xsi:type="dcterms:W3CDTF">2024-02-08T13:55:00Z</dcterms:created>
  <dcterms:modified xsi:type="dcterms:W3CDTF">2024-02-08T13:55:00Z</dcterms:modified>
</cp:coreProperties>
</file>